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Thin bread rolls with prosciutto and horseradish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IKEA BRÖD TUNNBRÖD soft thin bread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50 g prosciutto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50 g cream cheese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0.5 tbsp powdered sugar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Fresh or prepared horseradish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Spinach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Spread the cream cheese on the bread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Grate horseradish and lightly sprinkle it on top of the bread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Add 2 or 3 slices of prosciutto to each piece of bread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Add a layer of spinach leaves on top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Roll everything up loosely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Cut the roll into pieces 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Use toothpicks to fasten each piece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Put all pieces in a plate and serve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